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>, DEC</w:t>
      </w:r>
      <w:r>
        <w:t xml:space="preserve">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77777777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</w:t>
      </w:r>
      <w:bookmarkStart w:id="0" w:name="_GoBack"/>
      <w:bookmarkEnd w:id="0"/>
      <w:r>
        <w:t>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69</w:t>
      </w:r>
      <w:r>
        <w:rPr>
          <w:spacing w:val="-12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Regulamento</w:t>
      </w:r>
      <w:r>
        <w:rPr>
          <w:spacing w:val="-12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Licitações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Contratos da Ebserh – RLCE – Versão</w:t>
      </w:r>
      <w:r>
        <w:rPr>
          <w:spacing w:val="-6"/>
        </w:rPr>
        <w:t xml:space="preserve"> </w:t>
      </w:r>
      <w:r>
        <w:t>2.0.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</w:t>
      </w:r>
      <w:r>
        <w:t>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lastRenderedPageBreak/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</w:t>
      </w:r>
      <w:r>
        <w:t>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 xml:space="preserve">§ 1º Aplica-se </w:t>
      </w:r>
      <w:r>
        <w:t>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</w:t>
      </w:r>
      <w:r>
        <w:t>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</w:t>
      </w:r>
      <w:r>
        <w:t>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 xml:space="preserve">§ 2º A vedação prevista no caput também será </w:t>
      </w:r>
      <w:r>
        <w:t>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</w:t>
      </w:r>
      <w:r>
        <w:t>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 xml:space="preserve">§ 4º O disposto nos §§ 2º e 3º deve ser observado quando da emissão de nota de empenho, formalização </w:t>
      </w:r>
      <w:r>
        <w:t>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D7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A577C9-A903-4650-9353-2826FBCA36F9}"/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97033f8e-df20-4630-9d43-af17f3e76494"/>
    <ds:schemaRef ds:uri="http://schemas.microsoft.com/office/infopath/2007/PartnerControls"/>
    <ds:schemaRef ds:uri="149e9738-9360-4dc9-a6e4-dd92b4242fe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629</Words>
  <Characters>3401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Elvis Diniz Souza De Oliveira</cp:lastModifiedBy>
  <cp:revision>2</cp:revision>
  <dcterms:created xsi:type="dcterms:W3CDTF">2023-05-05T12:46:00Z</dcterms:created>
  <dcterms:modified xsi:type="dcterms:W3CDTF">2023-05-05T12:46:00Z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